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</w:rPr>
        <w:t>附件1：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《精益的本质——驱动企业价值创造》高端培训</w:t>
      </w: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课程大纲、时间安排、住宿信息及交通提示</w:t>
      </w:r>
    </w:p>
    <w:p>
      <w:pPr>
        <w:jc w:val="center"/>
        <w:rPr>
          <w:rFonts w:ascii="仿宋_GB2312" w:hAnsi="仿宋" w:eastAsia="仿宋_GB2312"/>
          <w:b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课程大纲与时间安排</w:t>
      </w:r>
    </w:p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2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12月10日周二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时间</w:t>
            </w:r>
          </w:p>
        </w:tc>
        <w:tc>
          <w:tcPr>
            <w:tcW w:w="8079" w:type="dxa"/>
          </w:tcPr>
          <w:p>
            <w:pPr>
              <w:snapToGrid w:val="0"/>
              <w:ind w:left="-2" w:leftChars="-1" w:firstLine="26" w:firstLineChars="11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08：30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10：30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079" w:type="dxa"/>
          </w:tcPr>
          <w:p>
            <w:pPr>
              <w:snapToGrid w:val="0"/>
              <w:ind w:firstLine="139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培训课程——讲师：牛山雄造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1、开始：为什么学？ </w:t>
            </w:r>
          </w:p>
          <w:p>
            <w:pPr>
              <w:widowControl/>
              <w:snapToGrid w:val="0"/>
              <w:ind w:right="210" w:firstLine="475" w:firstLineChars="198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2、</w:t>
            </w:r>
            <w:r>
              <w:rPr>
                <w:rFonts w:hint="eastAsia" w:ascii="仿宋_GB2312" w:hAnsi="仿宋" w:eastAsia="仿宋_GB2312"/>
                <w:color w:val="FF0000"/>
              </w:rPr>
              <w:t>Why</w:t>
            </w:r>
            <w:r>
              <w:rPr>
                <w:rFonts w:hint="eastAsia" w:ascii="仿宋_GB2312" w:hAnsi="仿宋" w:eastAsia="仿宋_GB2312"/>
              </w:rPr>
              <w:t>精益管理思维起源背景和发展历史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（1）丰田的觉悟：经营资源受限，如何实现突破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（2）丰田的挑战：面对行业巨头，如何后来者居上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（3）丰田的创新：持续改善构建出庞大产业帝国</w:t>
            </w:r>
          </w:p>
          <w:p>
            <w:pPr>
              <w:snapToGrid w:val="0"/>
              <w:ind w:right="240" w:firstLine="480" w:firstLineChars="20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总结：中国企业目前正处于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关键的</w:t>
            </w:r>
            <w:r>
              <w:rPr>
                <w:rFonts w:hint="eastAsia" w:ascii="仿宋_GB2312" w:hAnsi="仿宋" w:eastAsia="仿宋_GB2312"/>
              </w:rPr>
              <w:t>发展阶段，丰田发展路径给中国企业家的启示——产业变革背后的巨大机会。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10：30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-10：45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6" w:firstLineChars="57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</w:trPr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10：45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12：00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079" w:type="dxa"/>
          </w:tcPr>
          <w:p>
            <w:pPr>
              <w:snapToGrid w:val="0"/>
              <w:ind w:firstLine="136" w:firstLineChars="57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培训课程——讲师：牛山雄造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</w:rPr>
              <w:t>1、</w:t>
            </w:r>
            <w:r>
              <w:rPr>
                <w:rFonts w:hint="eastAsia" w:ascii="仿宋_GB2312" w:hAnsi="仿宋" w:eastAsia="仿宋_GB2312"/>
                <w:color w:val="FF0000"/>
              </w:rPr>
              <w:t>What</w:t>
            </w: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如何正确理解丰田精益体系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（1）精益生产的体系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（2）丰田如何通过精益生产降低企业成本？</w:t>
            </w:r>
          </w:p>
          <w:p>
            <w:pPr>
              <w:snapToGrid w:val="0"/>
              <w:ind w:right="240" w:firstLine="1080" w:firstLineChars="45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改善“现场操作”的精益手法</w:t>
            </w:r>
          </w:p>
          <w:p>
            <w:pPr>
              <w:snapToGrid w:val="0"/>
              <w:ind w:right="240" w:firstLine="1080" w:firstLineChars="45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改善“自我意识”的精益手法</w:t>
            </w:r>
          </w:p>
          <w:p>
            <w:pPr>
              <w:snapToGrid w:val="0"/>
              <w:ind w:right="240" w:firstLine="1080" w:firstLineChars="45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改善“组织管理”的精益手法</w:t>
            </w:r>
          </w:p>
          <w:p>
            <w:pPr>
              <w:snapToGrid w:val="0"/>
              <w:ind w:right="240" w:firstLine="1080" w:firstLineChars="45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改善“企业经营”的精益手法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（3）丰田持续不断创造利润高峰的秘密？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（4）深入丰田：为什么时至今日丰田依然可以持续改善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12：00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-13：30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9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13：30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15：30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079" w:type="dxa"/>
          </w:tcPr>
          <w:p>
            <w:pPr>
              <w:snapToGrid w:val="0"/>
              <w:ind w:firstLine="139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培训课程——讲师：小森治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1、</w:t>
            </w:r>
            <w:r>
              <w:rPr>
                <w:rFonts w:hint="eastAsia" w:ascii="仿宋_GB2312" w:hAnsi="仿宋" w:eastAsia="仿宋_GB2312"/>
                <w:color w:val="FF0000"/>
              </w:rPr>
              <w:t>How</w:t>
            </w:r>
            <w:r>
              <w:rPr>
                <w:rFonts w:hint="eastAsia" w:ascii="仿宋_GB2312" w:hAnsi="仿宋" w:eastAsia="仿宋_GB2312"/>
              </w:rPr>
              <w:t>中国企业何去何从？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（1）企业引入精益生产的案例分享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（2）中日两国推行精益生产的差异化比较分析</w:t>
            </w:r>
          </w:p>
          <w:p>
            <w:pPr>
              <w:pStyle w:val="11"/>
              <w:widowControl/>
              <w:numPr>
                <w:ilvl w:val="3"/>
                <w:numId w:val="2"/>
              </w:numPr>
              <w:snapToGrid w:val="0"/>
              <w:ind w:left="210" w:right="210" w:firstLine="641"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如何实现稳定性生产</w:t>
            </w:r>
          </w:p>
          <w:p>
            <w:pPr>
              <w:pStyle w:val="11"/>
              <w:widowControl/>
              <w:numPr>
                <w:ilvl w:val="3"/>
                <w:numId w:val="2"/>
              </w:numPr>
              <w:snapToGrid w:val="0"/>
              <w:ind w:left="210" w:right="210" w:firstLine="641"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提升精益现场力的技巧</w:t>
            </w:r>
          </w:p>
          <w:p>
            <w:pPr>
              <w:pStyle w:val="11"/>
              <w:widowControl/>
              <w:numPr>
                <w:ilvl w:val="3"/>
                <w:numId w:val="2"/>
              </w:numPr>
              <w:snapToGrid w:val="0"/>
              <w:ind w:left="210" w:right="210" w:firstLine="641"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构建精益可视化管理系统</w:t>
            </w:r>
          </w:p>
          <w:p>
            <w:pPr>
              <w:pStyle w:val="11"/>
              <w:widowControl/>
              <w:numPr>
                <w:ilvl w:val="3"/>
                <w:numId w:val="2"/>
              </w:numPr>
              <w:snapToGrid w:val="0"/>
              <w:ind w:left="210" w:right="210" w:firstLine="641" w:firstLineChars="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内驱式精益持续改善的打造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15：30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-15：45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9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tabs>
                <w:tab w:val="left" w:pos="0"/>
              </w:tabs>
              <w:snapToGrid w:val="0"/>
              <w:jc w:val="center"/>
              <w:rPr>
                <w:rFonts w:ascii="仿宋_GB2312" w:hAnsi="仿宋" w:eastAsia="仿宋_GB2312"/>
              </w:rPr>
            </w:pPr>
          </w:p>
          <w:p>
            <w:pPr>
              <w:tabs>
                <w:tab w:val="left" w:pos="0"/>
              </w:tabs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15：45</w:t>
            </w:r>
          </w:p>
          <w:p>
            <w:pPr>
              <w:tabs>
                <w:tab w:val="left" w:pos="0"/>
              </w:tabs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</w:t>
            </w:r>
          </w:p>
          <w:p>
            <w:pPr>
              <w:tabs>
                <w:tab w:val="left" w:pos="0"/>
              </w:tabs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17：30</w:t>
            </w:r>
          </w:p>
          <w:p>
            <w:pPr>
              <w:tabs>
                <w:tab w:val="left" w:pos="0"/>
              </w:tabs>
              <w:snapToGrid w:val="0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8079" w:type="dxa"/>
          </w:tcPr>
          <w:p>
            <w:pPr>
              <w:snapToGrid w:val="0"/>
              <w:ind w:firstLine="139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培训课程——讲师：小森治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1、站在未来看现在：如何应对工业4.0的挑战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（1）工业4.0是自动化？是制造业加智能互联系统？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（2）乘风破浪：产业从4P到4C的机遇</w:t>
            </w:r>
          </w:p>
          <w:p>
            <w:pPr>
              <w:widowControl/>
              <w:snapToGrid w:val="0"/>
              <w:ind w:right="210" w:firstLine="480" w:firstLineChars="2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总结：学习精益管理的“道”与“术”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ind w:firstLine="261" w:firstLineChars="109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18：00</w:t>
            </w:r>
          </w:p>
          <w:p>
            <w:pPr>
              <w:snapToGrid w:val="0"/>
              <w:ind w:firstLine="141" w:firstLineChars="59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-19：30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6" w:firstLineChars="57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19：30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-21：00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9"/>
              <w:rPr>
                <w:rFonts w:ascii="仿宋_GB2312" w:hAnsi="仿宋" w:eastAsia="仿宋_GB2312"/>
                <w:b/>
              </w:rPr>
            </w:pPr>
            <w:r>
              <w:rPr>
                <w:rFonts w:hint="eastAsia" w:ascii="仿宋_GB2312" w:hAnsi="仿宋" w:eastAsia="仿宋_GB2312"/>
                <w:b/>
              </w:rPr>
              <w:t>精益之夜 巅峰对话——深度互动交流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2"/>
          </w:tcPr>
          <w:p>
            <w:pPr>
              <w:snapToGrid w:val="0"/>
              <w:ind w:firstLine="142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12月11日周三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时间</w:t>
            </w:r>
          </w:p>
        </w:tc>
        <w:tc>
          <w:tcPr>
            <w:tcW w:w="8079" w:type="dxa"/>
          </w:tcPr>
          <w:p>
            <w:pPr>
              <w:snapToGrid w:val="0"/>
              <w:ind w:firstLine="139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08：30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-09：30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6" w:firstLineChars="57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主题分享：《东北工业的精益之路》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09：30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-10：30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9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360°精益全景深度参观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</w:tcPr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10：30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-11：00</w:t>
            </w:r>
          </w:p>
        </w:tc>
        <w:tc>
          <w:tcPr>
            <w:tcW w:w="8079" w:type="dxa"/>
            <w:vAlign w:val="center"/>
          </w:tcPr>
          <w:p>
            <w:pPr>
              <w:snapToGrid w:val="0"/>
              <w:ind w:firstLine="139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交流互动</w:t>
            </w:r>
          </w:p>
        </w:tc>
      </w:tr>
    </w:tbl>
    <w:p>
      <w:pPr>
        <w:pStyle w:val="11"/>
        <w:ind w:left="720" w:firstLine="0" w:firstLineChars="0"/>
        <w:rPr>
          <w:rFonts w:ascii="仿宋_GB2312" w:hAnsi="仿宋" w:eastAsia="仿宋_GB2312" w:cs="仿宋"/>
          <w:b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住宿信息</w:t>
      </w:r>
    </w:p>
    <w:p>
      <w:pPr>
        <w:adjustRightInd w:val="0"/>
        <w:snapToGrid w:val="0"/>
        <w:ind w:firstLine="480" w:firstLineChars="2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中共长春市委党校</w:t>
      </w:r>
    </w:p>
    <w:p>
      <w:pPr>
        <w:adjustRightInd w:val="0"/>
        <w:snapToGrid w:val="0"/>
        <w:ind w:firstLine="480" w:firstLineChars="2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地址：吉林省长春市朝阳区硅谷大街7337号</w:t>
      </w: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 w:cs="仿宋"/>
          <w:color w:val="FF0000"/>
        </w:rPr>
      </w:pPr>
      <w:r>
        <w:rPr>
          <w:rFonts w:hint="eastAsia" w:ascii="仿宋_GB2312" w:hAnsi="仿宋" w:eastAsia="仿宋_GB2312" w:cs="仿宋"/>
        </w:rPr>
        <w:t>费用：240元/晚（含早）</w:t>
      </w:r>
      <w:r>
        <w:rPr>
          <w:rFonts w:hint="eastAsia" w:ascii="仿宋_GB2312" w:hAnsi="仿宋" w:eastAsia="仿宋_GB2312" w:cs="仿宋"/>
          <w:color w:val="FF0000"/>
        </w:rPr>
        <w:t>**单间、标准间价格相同，会务组可协助预订</w:t>
      </w:r>
    </w:p>
    <w:p>
      <w:pPr>
        <w:adjustRightInd w:val="0"/>
        <w:snapToGrid w:val="0"/>
        <w:ind w:firstLine="480" w:firstLineChars="200"/>
        <w:rPr>
          <w:rFonts w:ascii="仿宋_GB2312" w:hAnsi="仿宋" w:eastAsia="仿宋_GB2312" w:cs="仿宋"/>
        </w:rPr>
      </w:pPr>
    </w:p>
    <w:p>
      <w:pPr>
        <w:adjustRightInd w:val="0"/>
        <w:snapToGrid w:val="0"/>
        <w:ind w:firstLine="480" w:firstLineChars="200"/>
        <w:rPr>
          <w:rFonts w:hint="eastAsia" w:ascii="仿宋_GB2312" w:hAnsi="仿宋" w:eastAsia="仿宋_GB2312" w:cs="仿宋"/>
          <w:color w:val="FF0000"/>
          <w:lang w:eastAsia="zh-CN"/>
        </w:rPr>
      </w:pPr>
      <w:r>
        <w:rPr>
          <w:rFonts w:hint="eastAsia" w:ascii="仿宋_GB2312" w:hAnsi="仿宋" w:eastAsia="仿宋_GB2312" w:cs="仿宋"/>
          <w:color w:val="FF0000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FF0000"/>
          <w:lang w:eastAsia="zh-CN"/>
        </w:rPr>
        <w:drawing>
          <wp:inline distT="0" distB="0" distL="114300" distR="114300">
            <wp:extent cx="2987675" cy="2188210"/>
            <wp:effectExtent l="0" t="0" r="3175" b="2540"/>
            <wp:docPr id="2" name="图片 2" descr="15731151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311515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_GB2312" w:hAnsi="仿宋" w:eastAsia="仿宋_GB2312" w:cs="仿宋"/>
          <w:b/>
        </w:rPr>
      </w:pPr>
    </w:p>
    <w:p>
      <w:pPr>
        <w:rPr>
          <w:rFonts w:hint="eastAsia" w:ascii="仿宋_GB2312" w:hAnsi="仿宋" w:eastAsia="仿宋_GB2312" w:cs="仿宋"/>
          <w:b/>
        </w:rPr>
      </w:pPr>
    </w:p>
    <w:p>
      <w:pPr>
        <w:rPr>
          <w:rFonts w:ascii="仿宋_GB2312" w:hAnsi="仿宋" w:eastAsia="仿宋_GB2312" w:cs="仿宋"/>
          <w:b/>
        </w:rPr>
      </w:pPr>
      <w:r>
        <w:rPr>
          <w:rFonts w:hint="eastAsia" w:ascii="仿宋_GB2312" w:hAnsi="仿宋" w:eastAsia="仿宋_GB2312" w:cs="仿宋"/>
          <w:b/>
        </w:rPr>
        <w:t>三、交通提示</w:t>
      </w:r>
    </w:p>
    <w:p>
      <w:pPr>
        <w:ind w:firstLine="480" w:firstLineChars="200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>1、火车：长春站</w:t>
      </w:r>
    </w:p>
    <w:p>
      <w:pPr>
        <w:ind w:firstLine="480" w:firstLineChars="200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>A.公交，轨道交通3号线转高新2号线，全程1小时10分钟</w:t>
      </w:r>
    </w:p>
    <w:p>
      <w:pPr>
        <w:ind w:firstLine="480" w:firstLineChars="200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>B.出租车，车程约35分钟，车费约50元</w:t>
      </w:r>
    </w:p>
    <w:p>
      <w:pPr>
        <w:ind w:firstLine="480" w:firstLineChars="200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>2、高铁：长春西站</w:t>
      </w:r>
    </w:p>
    <w:p>
      <w:pPr>
        <w:ind w:firstLine="480" w:firstLineChars="200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>A. 公交，195路。全程约30分钟</w:t>
      </w:r>
    </w:p>
    <w:p>
      <w:pPr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 xml:space="preserve">    B. 出租车，车程约24分钟，车费约26元</w:t>
      </w:r>
    </w:p>
    <w:p>
      <w:pPr>
        <w:ind w:firstLine="480" w:firstLineChars="200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>3、机场：长春龙嘉国际机场</w:t>
      </w:r>
    </w:p>
    <w:p>
      <w:pPr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 xml:space="preserve">    A. 出租车，车程约50分钟，车费约150元</w:t>
      </w:r>
    </w:p>
    <w:p>
      <w:pPr>
        <w:widowControl/>
        <w:shd w:val="clear" w:color="auto" w:fill="FFFFFF"/>
        <w:rPr>
          <w:rFonts w:ascii="仿宋_GB2312" w:hAnsi="仿宋" w:eastAsia="仿宋_GB2312" w:cs="仿宋"/>
          <w:color w:val="000000"/>
          <w:kern w:val="0"/>
        </w:rPr>
      </w:pPr>
    </w:p>
    <w:p>
      <w:pPr>
        <w:widowControl/>
        <w:shd w:val="clear" w:color="auto" w:fill="FFFFFF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>【会务联系人】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" w:eastAsia="仿宋_GB2312" w:cs="仿宋"/>
          <w:color w:val="000000"/>
          <w:kern w:val="0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 xml:space="preserve">中机企协： 刘永辉   13269187168  </w:t>
      </w:r>
    </w:p>
    <w:p>
      <w:pPr>
        <w:adjustRightInd w:val="0"/>
        <w:snapToGrid w:val="0"/>
        <w:ind w:firstLine="480" w:firstLineChars="200"/>
        <w:jc w:val="left"/>
        <w:rPr>
          <w:rFonts w:ascii="仿宋_GB2312" w:hAnsi="仿宋" w:eastAsia="仿宋_GB2312"/>
        </w:rPr>
      </w:pPr>
      <w:r>
        <w:rPr>
          <w:rFonts w:hint="eastAsia" w:ascii="仿宋_GB2312" w:hAnsi="仿宋" w:eastAsia="仿宋_GB2312" w:cs="仿宋"/>
          <w:color w:val="000000"/>
          <w:kern w:val="0"/>
        </w:rPr>
        <w:t xml:space="preserve">东北工业： </w:t>
      </w:r>
      <w:r>
        <w:rPr>
          <w:rFonts w:hint="eastAsia" w:ascii="仿宋_GB2312" w:hAnsi="仿宋" w:eastAsia="仿宋_GB2312"/>
        </w:rPr>
        <w:t>张世超   13500895105</w:t>
      </w:r>
    </w:p>
    <w:sectPr>
      <w:footerReference r:id="rId3" w:type="default"/>
      <w:pgSz w:w="11900" w:h="16840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1621765587"/>
    </w:sdtPr>
    <w:sdtEndPr>
      <w:rPr>
        <w:rStyle w:val="9"/>
      </w:rPr>
    </w:sdtEndPr>
    <w:sdtContent>
      <w:p>
        <w:pPr>
          <w:pStyle w:val="3"/>
          <w:framePr w:wrap="around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6</w:t>
        </w:r>
        <w:r>
          <w:rPr>
            <w:rStyle w:val="9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DAD"/>
    <w:multiLevelType w:val="multilevel"/>
    <w:tmpl w:val="1C6C0DA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)"/>
      <w:lvlJc w:val="left"/>
      <w:pPr>
        <w:ind w:left="1260" w:hanging="420"/>
      </w:pPr>
    </w:lvl>
    <w:lvl w:ilvl="3" w:tentative="0">
      <w:start w:val="1"/>
      <w:numFmt w:val="upperLetter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994124"/>
    <w:multiLevelType w:val="multilevel"/>
    <w:tmpl w:val="7C99412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theme="minorBidi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0"/>
    <w:rsid w:val="00011874"/>
    <w:rsid w:val="00024C8E"/>
    <w:rsid w:val="00036C38"/>
    <w:rsid w:val="00064617"/>
    <w:rsid w:val="000C169F"/>
    <w:rsid w:val="0011552B"/>
    <w:rsid w:val="00123547"/>
    <w:rsid w:val="001726AD"/>
    <w:rsid w:val="0019243B"/>
    <w:rsid w:val="001B0B13"/>
    <w:rsid w:val="002300D4"/>
    <w:rsid w:val="002B5597"/>
    <w:rsid w:val="002E2AD1"/>
    <w:rsid w:val="00307FBD"/>
    <w:rsid w:val="003102BD"/>
    <w:rsid w:val="003148E9"/>
    <w:rsid w:val="0038217D"/>
    <w:rsid w:val="003D111B"/>
    <w:rsid w:val="003D5038"/>
    <w:rsid w:val="00427F33"/>
    <w:rsid w:val="00443C17"/>
    <w:rsid w:val="004676A5"/>
    <w:rsid w:val="00495626"/>
    <w:rsid w:val="004A04A7"/>
    <w:rsid w:val="004B7D8E"/>
    <w:rsid w:val="004C1790"/>
    <w:rsid w:val="004F31DC"/>
    <w:rsid w:val="00537D3B"/>
    <w:rsid w:val="00546339"/>
    <w:rsid w:val="005643C0"/>
    <w:rsid w:val="00594243"/>
    <w:rsid w:val="005C7621"/>
    <w:rsid w:val="006127A6"/>
    <w:rsid w:val="00636D8D"/>
    <w:rsid w:val="00637110"/>
    <w:rsid w:val="006529A8"/>
    <w:rsid w:val="00667F73"/>
    <w:rsid w:val="006702C7"/>
    <w:rsid w:val="006853EC"/>
    <w:rsid w:val="00696AA5"/>
    <w:rsid w:val="006B4F98"/>
    <w:rsid w:val="00700199"/>
    <w:rsid w:val="007343DA"/>
    <w:rsid w:val="00755DCC"/>
    <w:rsid w:val="00756EEF"/>
    <w:rsid w:val="00757781"/>
    <w:rsid w:val="00787AA7"/>
    <w:rsid w:val="00787E5A"/>
    <w:rsid w:val="007E5EF4"/>
    <w:rsid w:val="007F50A3"/>
    <w:rsid w:val="008249AC"/>
    <w:rsid w:val="00836759"/>
    <w:rsid w:val="008B6094"/>
    <w:rsid w:val="008E0396"/>
    <w:rsid w:val="00914C94"/>
    <w:rsid w:val="009B32BA"/>
    <w:rsid w:val="00A13E43"/>
    <w:rsid w:val="00A62153"/>
    <w:rsid w:val="00A70847"/>
    <w:rsid w:val="00AB5E55"/>
    <w:rsid w:val="00AD647C"/>
    <w:rsid w:val="00AE3885"/>
    <w:rsid w:val="00B27942"/>
    <w:rsid w:val="00B65F43"/>
    <w:rsid w:val="00BB56E2"/>
    <w:rsid w:val="00BC0E59"/>
    <w:rsid w:val="00C602A2"/>
    <w:rsid w:val="00D40298"/>
    <w:rsid w:val="00D40A48"/>
    <w:rsid w:val="00D76013"/>
    <w:rsid w:val="00D97B0C"/>
    <w:rsid w:val="00DA0B55"/>
    <w:rsid w:val="00DB2A45"/>
    <w:rsid w:val="00F40564"/>
    <w:rsid w:val="00F85CFF"/>
    <w:rsid w:val="047B7118"/>
    <w:rsid w:val="0A262B5E"/>
    <w:rsid w:val="0B590E9B"/>
    <w:rsid w:val="10433301"/>
    <w:rsid w:val="17C1774F"/>
    <w:rsid w:val="1ACB6A9E"/>
    <w:rsid w:val="1C5F328B"/>
    <w:rsid w:val="1E5934DB"/>
    <w:rsid w:val="22BC1C1C"/>
    <w:rsid w:val="2486049C"/>
    <w:rsid w:val="25155CC4"/>
    <w:rsid w:val="29BD28CD"/>
    <w:rsid w:val="3363274F"/>
    <w:rsid w:val="3913136C"/>
    <w:rsid w:val="3F9C7482"/>
    <w:rsid w:val="47407706"/>
    <w:rsid w:val="4D1D7DA6"/>
    <w:rsid w:val="51646261"/>
    <w:rsid w:val="5CFE5077"/>
    <w:rsid w:val="71FE20AB"/>
    <w:rsid w:val="75472F82"/>
    <w:rsid w:val="7A4E71AF"/>
    <w:rsid w:val="7A81710C"/>
    <w:rsid w:val="7B9C7B83"/>
    <w:rsid w:val="7C6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semiHidden/>
    <w:unhideWhenUsed/>
    <w:uiPriority w:val="99"/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428</Words>
  <Characters>2444</Characters>
  <Lines>20</Lines>
  <Paragraphs>5</Paragraphs>
  <TotalTime>1</TotalTime>
  <ScaleCrop>false</ScaleCrop>
  <LinksUpToDate>false</LinksUpToDate>
  <CharactersWithSpaces>2867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2019-11-01T11:26:00Z</dcterms:created>
  <dc:creator>Que Helen</dc:creator>
  <cp:lastModifiedBy>qzuser</cp:lastModifiedBy>
  <cp:lastPrinted>2019-11-07T02:37:27Z</cp:lastPrinted>
  <dcterms:modified xsi:type="dcterms:W3CDTF">2019-11-07T08:28:16Z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